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480"/>
        <w:tblW w:w="0" w:type="auto"/>
        <w:tblLook w:val="04A0" w:firstRow="1" w:lastRow="0" w:firstColumn="1" w:lastColumn="0" w:noHBand="0" w:noVBand="1"/>
      </w:tblPr>
      <w:tblGrid>
        <w:gridCol w:w="2783"/>
        <w:gridCol w:w="1900"/>
        <w:gridCol w:w="2258"/>
        <w:gridCol w:w="2119"/>
      </w:tblGrid>
      <w:tr w:rsidR="003B5D1C" w:rsidRPr="00614D9A" w:rsidTr="003B5D1C">
        <w:trPr>
          <w:trHeight w:val="401"/>
        </w:trPr>
        <w:tc>
          <w:tcPr>
            <w:tcW w:w="9060" w:type="dxa"/>
            <w:gridSpan w:val="4"/>
            <w:vAlign w:val="center"/>
          </w:tcPr>
          <w:p w:rsidR="003B5D1C" w:rsidRPr="00C33EB0" w:rsidRDefault="00A22088" w:rsidP="00A220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Besucher am LFG</w:t>
            </w:r>
          </w:p>
        </w:tc>
      </w:tr>
      <w:tr w:rsidR="006910E6" w:rsidRPr="00614D9A" w:rsidTr="006910E6">
        <w:trPr>
          <w:trHeight w:val="304"/>
        </w:trPr>
        <w:tc>
          <w:tcPr>
            <w:tcW w:w="2783" w:type="dxa"/>
            <w:vAlign w:val="center"/>
          </w:tcPr>
          <w:p w:rsidR="006910E6" w:rsidRPr="008E0680" w:rsidRDefault="006910E6" w:rsidP="00A440D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Datum:</w:t>
            </w:r>
          </w:p>
        </w:tc>
        <w:tc>
          <w:tcPr>
            <w:tcW w:w="1900" w:type="dxa"/>
            <w:vAlign w:val="center"/>
          </w:tcPr>
          <w:p w:rsidR="006910E6" w:rsidRPr="00614D9A" w:rsidRDefault="006910E6" w:rsidP="003B5D1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58" w:type="dxa"/>
            <w:vAlign w:val="center"/>
          </w:tcPr>
          <w:p w:rsidR="006910E6" w:rsidRPr="00614D9A" w:rsidRDefault="006910E6" w:rsidP="003B5D1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Hof:</w:t>
            </w:r>
          </w:p>
        </w:tc>
        <w:tc>
          <w:tcPr>
            <w:tcW w:w="2119" w:type="dxa"/>
            <w:vAlign w:val="center"/>
          </w:tcPr>
          <w:p w:rsidR="006910E6" w:rsidRPr="00614D9A" w:rsidRDefault="006910E6" w:rsidP="003B5D1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B5D1C" w:rsidRPr="00614D9A" w:rsidTr="006910E6">
        <w:trPr>
          <w:trHeight w:val="322"/>
        </w:trPr>
        <w:tc>
          <w:tcPr>
            <w:tcW w:w="2783" w:type="dxa"/>
            <w:vAlign w:val="center"/>
          </w:tcPr>
          <w:p w:rsidR="003B5D1C" w:rsidRPr="008E0680" w:rsidRDefault="006910E6" w:rsidP="003B5D1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Personenanzahl:</w:t>
            </w:r>
          </w:p>
        </w:tc>
        <w:tc>
          <w:tcPr>
            <w:tcW w:w="1900" w:type="dxa"/>
            <w:vAlign w:val="center"/>
          </w:tcPr>
          <w:p w:rsidR="003B5D1C" w:rsidRPr="00614D9A" w:rsidRDefault="003B5D1C" w:rsidP="003B5D1C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58" w:type="dxa"/>
            <w:vAlign w:val="center"/>
          </w:tcPr>
          <w:p w:rsidR="003B5D1C" w:rsidRPr="008E0680" w:rsidRDefault="00A440DF" w:rsidP="003B5D1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Betreuer</w:t>
            </w:r>
            <w:r w:rsidR="003B5D1C" w:rsidRPr="008E0680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2119" w:type="dxa"/>
            <w:vAlign w:val="center"/>
          </w:tcPr>
          <w:p w:rsidR="003B5D1C" w:rsidRPr="00614D9A" w:rsidRDefault="003B5D1C" w:rsidP="003B5D1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B5D1C" w:rsidRPr="00614D9A" w:rsidTr="003B5D1C">
        <w:trPr>
          <w:trHeight w:val="468"/>
        </w:trPr>
        <w:tc>
          <w:tcPr>
            <w:tcW w:w="2783" w:type="dxa"/>
            <w:vAlign w:val="center"/>
          </w:tcPr>
          <w:p w:rsidR="003B5D1C" w:rsidRPr="008E0680" w:rsidRDefault="00A440DF" w:rsidP="003B5D1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Name (Firma):</w:t>
            </w:r>
          </w:p>
        </w:tc>
        <w:tc>
          <w:tcPr>
            <w:tcW w:w="6277" w:type="dxa"/>
            <w:gridSpan w:val="3"/>
            <w:vAlign w:val="center"/>
          </w:tcPr>
          <w:p w:rsidR="003B5D1C" w:rsidRPr="00614D9A" w:rsidRDefault="003B5D1C" w:rsidP="003B5D1C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015E32" w:rsidRDefault="00015E32" w:rsidP="0084363A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3B5D1C" w:rsidRDefault="003B5D1C" w:rsidP="0084363A">
      <w:pPr>
        <w:jc w:val="center"/>
        <w:rPr>
          <w:rFonts w:asciiTheme="majorHAnsi" w:hAnsiTheme="majorHAnsi"/>
          <w:b/>
          <w:sz w:val="28"/>
          <w:szCs w:val="28"/>
        </w:rPr>
      </w:pPr>
    </w:p>
    <w:p w:rsidR="00385250" w:rsidRPr="0084363A" w:rsidRDefault="00BC47CC" w:rsidP="0084363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Sicherheitsunterweisung</w:t>
      </w:r>
      <w:r w:rsidR="0084363A" w:rsidRPr="0084363A">
        <w:rPr>
          <w:rFonts w:asciiTheme="majorHAnsi" w:hAnsiTheme="majorHAnsi"/>
          <w:b/>
          <w:sz w:val="28"/>
          <w:szCs w:val="28"/>
        </w:rPr>
        <w:t xml:space="preserve"> und Verschwiegenheitsklausel </w:t>
      </w:r>
      <w:r w:rsidR="001605C2">
        <w:rPr>
          <w:rFonts w:asciiTheme="majorHAnsi" w:hAnsiTheme="majorHAnsi"/>
          <w:b/>
          <w:sz w:val="28"/>
          <w:szCs w:val="28"/>
        </w:rPr>
        <w:t xml:space="preserve">auf der VetFarm </w:t>
      </w:r>
      <w:r w:rsidR="0084363A" w:rsidRPr="0084363A">
        <w:rPr>
          <w:rFonts w:asciiTheme="majorHAnsi" w:hAnsiTheme="majorHAnsi"/>
          <w:b/>
          <w:sz w:val="28"/>
          <w:szCs w:val="28"/>
        </w:rPr>
        <w:t>der Veterinärmedizinischen Universität Wien</w:t>
      </w:r>
    </w:p>
    <w:p w:rsidR="0084363A" w:rsidRDefault="0084363A"/>
    <w:p w:rsidR="008A497B" w:rsidRDefault="001605C2" w:rsidP="008A497B">
      <w:r>
        <w:t>VetFarm</w:t>
      </w:r>
      <w:r w:rsidR="008A497B">
        <w:t xml:space="preserve"> bezeichnet im Folgenden </w:t>
      </w:r>
      <w:r>
        <w:t>das Gut</w:t>
      </w:r>
      <w:r w:rsidR="008A497B">
        <w:t xml:space="preserve"> Kremesberg mit</w:t>
      </w:r>
      <w:r w:rsidR="00E10490">
        <w:t xml:space="preserve"> </w:t>
      </w:r>
      <w:r w:rsidR="008A497B">
        <w:t>allen zugehörigen Höfen</w:t>
      </w:r>
      <w:r w:rsidR="002924E9">
        <w:t>,</w:t>
      </w:r>
      <w:r w:rsidR="008A497B">
        <w:t xml:space="preserve"> (Hof Kremesberg, Hof Medau, Hof Haidlhof</w:t>
      </w:r>
      <w:r w:rsidR="0009502F">
        <w:t>,</w:t>
      </w:r>
      <w:r w:rsidR="008A497B">
        <w:t xml:space="preserve"> Hof Rehgras)</w:t>
      </w:r>
      <w:r w:rsidR="00787E19">
        <w:t xml:space="preserve"> </w:t>
      </w:r>
      <w:r w:rsidR="00E10490">
        <w:t xml:space="preserve">Stallungen und </w:t>
      </w:r>
      <w:r w:rsidR="008A497B">
        <w:t xml:space="preserve">  landwirtschaftlichen Einrichtungen. </w:t>
      </w:r>
    </w:p>
    <w:p w:rsidR="0084363A" w:rsidRDefault="00C62544">
      <w:r>
        <w:t>Ihre</w:t>
      </w:r>
      <w:r w:rsidR="00E10490">
        <w:t xml:space="preserve"> Bestätigung dieser Unterweisung sowie Ihr</w:t>
      </w:r>
      <w:r w:rsidR="0084363A">
        <w:t xml:space="preserve"> Einverständnis mit den </w:t>
      </w:r>
      <w:r w:rsidR="00E10490">
        <w:t>Regeln der Verschwiegenheitsklausel in</w:t>
      </w:r>
      <w:r w:rsidR="0084363A">
        <w:t xml:space="preserve"> vorliegende</w:t>
      </w:r>
      <w:r w:rsidR="00E10490">
        <w:t>m</w:t>
      </w:r>
      <w:r w:rsidR="0084363A">
        <w:t xml:space="preserve"> Dokument</w:t>
      </w:r>
      <w:r w:rsidR="00B8252D">
        <w:t>,</w:t>
      </w:r>
      <w:r w:rsidR="002924E9">
        <w:t xml:space="preserve"> ist</w:t>
      </w:r>
      <w:r w:rsidR="0084363A">
        <w:t xml:space="preserve"> Grundvoraussetzung für </w:t>
      </w:r>
      <w:r w:rsidR="001605C2">
        <w:t>den Zugang zum Areal der VetFarm</w:t>
      </w:r>
      <w:r w:rsidR="002924E9">
        <w:t xml:space="preserve"> und somit auch für </w:t>
      </w:r>
      <w:r w:rsidR="002924E9" w:rsidRPr="00F35855">
        <w:t xml:space="preserve">die Teilnahme an sämtlichen </w:t>
      </w:r>
      <w:r w:rsidRPr="00F35855">
        <w:t>Lehrveranstaltungen</w:t>
      </w:r>
      <w:r w:rsidR="002924E9" w:rsidRPr="00F35855">
        <w:t xml:space="preserve"> </w:t>
      </w:r>
      <w:r w:rsidR="00B8252D" w:rsidRPr="00F35855">
        <w:t>während Ihrer gesamten</w:t>
      </w:r>
      <w:r w:rsidR="008A497B" w:rsidRPr="00F35855">
        <w:t xml:space="preserve"> Ausbildung</w:t>
      </w:r>
      <w:r w:rsidRPr="00F35855">
        <w:t xml:space="preserve">szeit an der Veterinärmedizinischen Universität Wien </w:t>
      </w:r>
      <w:r w:rsidR="002924E9">
        <w:t>bzw.</w:t>
      </w:r>
      <w:r w:rsidR="008A497B">
        <w:t xml:space="preserve"> </w:t>
      </w:r>
      <w:r>
        <w:t xml:space="preserve">Ihrer </w:t>
      </w:r>
      <w:r w:rsidR="008A497B">
        <w:t>Mitarb</w:t>
      </w:r>
      <w:r w:rsidR="002924E9">
        <w:t xml:space="preserve">eit </w:t>
      </w:r>
      <w:r>
        <w:t xml:space="preserve">im Rahmen eines Praktikums </w:t>
      </w:r>
      <w:r w:rsidR="001605C2">
        <w:t>auf der VetFarm</w:t>
      </w:r>
      <w:r w:rsidR="002924E9">
        <w:t>.</w:t>
      </w:r>
    </w:p>
    <w:p w:rsidR="007B316F" w:rsidRDefault="007B316F"/>
    <w:p w:rsidR="0084363A" w:rsidRPr="00A31ADA" w:rsidRDefault="00A31ADA" w:rsidP="0084363A">
      <w:pPr>
        <w:pStyle w:val="Listenabsatz"/>
        <w:numPr>
          <w:ilvl w:val="0"/>
          <w:numId w:val="1"/>
        </w:numPr>
        <w:rPr>
          <w:b/>
        </w:rPr>
      </w:pPr>
      <w:r w:rsidRPr="00A31ADA">
        <w:rPr>
          <w:b/>
        </w:rPr>
        <w:t>Allgemeine Informationen</w:t>
      </w:r>
    </w:p>
    <w:p w:rsidR="0084363A" w:rsidRDefault="0084363A" w:rsidP="0084363A">
      <w:pPr>
        <w:pStyle w:val="Listenabsatz"/>
      </w:pPr>
    </w:p>
    <w:p w:rsidR="00192B8E" w:rsidRDefault="00192B8E" w:rsidP="00192B8E">
      <w:pPr>
        <w:pStyle w:val="Listenabsatz"/>
        <w:numPr>
          <w:ilvl w:val="0"/>
          <w:numId w:val="2"/>
        </w:numPr>
      </w:pPr>
      <w:r>
        <w:t xml:space="preserve">Spezielle Stall- &amp; Betriebsordnungen sind im Eingangsbereich der einzelnen Höfe im </w:t>
      </w:r>
      <w:r w:rsidRPr="00F35855">
        <w:t>Aushang und sind einzuhalten.</w:t>
      </w:r>
    </w:p>
    <w:p w:rsidR="00192B8E" w:rsidRDefault="00192B8E" w:rsidP="00192B8E">
      <w:pPr>
        <w:pStyle w:val="Listenabsatz"/>
        <w:numPr>
          <w:ilvl w:val="0"/>
          <w:numId w:val="2"/>
        </w:numPr>
      </w:pPr>
      <w:r>
        <w:t>Das Tragen von entsprechender Arbeitskleidung und Sicher</w:t>
      </w:r>
      <w:r w:rsidR="0037556A">
        <w:t xml:space="preserve">heitsschuhen bzw. Stiefeln ist </w:t>
      </w:r>
      <w:r>
        <w:t>in den Stallungen obligatorisch.</w:t>
      </w:r>
    </w:p>
    <w:p w:rsidR="00192B8E" w:rsidRDefault="00192B8E" w:rsidP="00192B8E">
      <w:pPr>
        <w:pStyle w:val="Listenabsatz"/>
        <w:numPr>
          <w:ilvl w:val="0"/>
          <w:numId w:val="2"/>
        </w:numPr>
      </w:pPr>
      <w:r>
        <w:t xml:space="preserve">Arbeitskleidung und Stiefel sind ausschließlich in den Umkleideschleusen aufzubewahren. </w:t>
      </w:r>
    </w:p>
    <w:p w:rsidR="00192B8E" w:rsidRDefault="00192B8E" w:rsidP="00192B8E">
      <w:pPr>
        <w:pStyle w:val="Listenabsatz"/>
        <w:numPr>
          <w:ilvl w:val="0"/>
          <w:numId w:val="2"/>
        </w:numPr>
      </w:pPr>
      <w:r>
        <w:t>Im Melkbereich sind die eigens für diesen Bereich bereitgestellten Stiefel und Mäntel zu tragen.</w:t>
      </w:r>
    </w:p>
    <w:p w:rsidR="00192B8E" w:rsidRDefault="00192B8E" w:rsidP="00192B8E">
      <w:pPr>
        <w:pStyle w:val="Listenabsatz"/>
        <w:numPr>
          <w:ilvl w:val="0"/>
          <w:numId w:val="2"/>
        </w:numPr>
      </w:pPr>
      <w:r>
        <w:t>Essen/Trinken/Rauchen in den Stallungen ist absolut verboten</w:t>
      </w:r>
    </w:p>
    <w:p w:rsidR="001029FD" w:rsidRDefault="0065585A" w:rsidP="0084363A">
      <w:pPr>
        <w:pStyle w:val="Listenabsatz"/>
        <w:numPr>
          <w:ilvl w:val="0"/>
          <w:numId w:val="2"/>
        </w:numPr>
      </w:pPr>
      <w:r>
        <w:t xml:space="preserve">Das Betreten der Stallungen außerhalb der </w:t>
      </w:r>
      <w:r w:rsidR="008A497B">
        <w:t>Unterrichts-/Praxiszeiten</w:t>
      </w:r>
      <w:r>
        <w:t xml:space="preserve"> ist für alle Studierenden ohne ausdrückliche Absprache</w:t>
      </w:r>
      <w:r w:rsidR="003B19A6">
        <w:t xml:space="preserve"> mit dem</w:t>
      </w:r>
      <w:r w:rsidR="008A497B">
        <w:t xml:space="preserve"> zuständigen Tierarzt oder Stallmeister</w:t>
      </w:r>
      <w:r w:rsidR="003B19A6">
        <w:t xml:space="preserve"> untersagt</w:t>
      </w:r>
      <w:r w:rsidR="008A497B">
        <w:t xml:space="preserve">. </w:t>
      </w:r>
    </w:p>
    <w:p w:rsidR="003B19A6" w:rsidRDefault="003B19A6" w:rsidP="0084363A">
      <w:pPr>
        <w:pStyle w:val="Listenabsatz"/>
        <w:numPr>
          <w:ilvl w:val="0"/>
          <w:numId w:val="2"/>
        </w:numPr>
      </w:pPr>
      <w:r>
        <w:t xml:space="preserve">Studierende </w:t>
      </w:r>
      <w:r w:rsidR="00A47A83">
        <w:t>sind</w:t>
      </w:r>
      <w:r>
        <w:t xml:space="preserve"> unter Supervision von Lehrenden </w:t>
      </w:r>
      <w:r w:rsidR="00A31ADA">
        <w:t>neben dem Üben spezifischer Handgriffe und Untersuchungen (</w:t>
      </w:r>
      <w:r w:rsidR="0037556A">
        <w:t xml:space="preserve">z.B.: Blutproben, Milchproben) </w:t>
      </w:r>
      <w:r w:rsidR="00A31ADA">
        <w:t>auch in die aktuellen Routineaufgaben in Diagnostik, Primärtherapie oder Nachbehandlungen</w:t>
      </w:r>
      <w:r>
        <w:t xml:space="preserve"> von </w:t>
      </w:r>
      <w:r w:rsidR="008A497B">
        <w:t xml:space="preserve">Tieren in den Herden </w:t>
      </w:r>
      <w:r w:rsidR="001605C2">
        <w:t xml:space="preserve">der VetFarm </w:t>
      </w:r>
      <w:r w:rsidR="00A31ADA">
        <w:t>eingebunden</w:t>
      </w:r>
      <w:r w:rsidR="00A47A83">
        <w:t>.</w:t>
      </w:r>
    </w:p>
    <w:p w:rsidR="003B19A6" w:rsidRDefault="003B19A6" w:rsidP="0084363A">
      <w:pPr>
        <w:pStyle w:val="Listenabsatz"/>
        <w:numPr>
          <w:ilvl w:val="0"/>
          <w:numId w:val="2"/>
        </w:numPr>
      </w:pPr>
      <w:r>
        <w:lastRenderedPageBreak/>
        <w:t xml:space="preserve">Die Studierenden erledigen die ihnen übertragenen und ihrem Wissen und </w:t>
      </w:r>
      <w:r w:rsidR="00A31ADA">
        <w:t xml:space="preserve">ihren </w:t>
      </w:r>
      <w:r>
        <w:t xml:space="preserve">Fähigkeiten angepassten Aufgaben mit einem angemessenen Grad an </w:t>
      </w:r>
      <w:r w:rsidR="00A31ADA">
        <w:t xml:space="preserve">Selbständigkeit aber auch </w:t>
      </w:r>
      <w:r>
        <w:t>Eigenverantwortlichkeit</w:t>
      </w:r>
      <w:r w:rsidR="00A31ADA">
        <w:t>.</w:t>
      </w:r>
    </w:p>
    <w:p w:rsidR="00192B8E" w:rsidRDefault="00192B8E" w:rsidP="00192B8E">
      <w:pPr>
        <w:pStyle w:val="Listenabsatz"/>
        <w:numPr>
          <w:ilvl w:val="0"/>
          <w:numId w:val="2"/>
        </w:numPr>
      </w:pPr>
      <w:r>
        <w:t>Die LV „klinische Übungen“, mehrwöchige Praktika oder praktisch</w:t>
      </w:r>
      <w:r w:rsidR="00F14E08">
        <w:t xml:space="preserve">e wissenschaftliche Arbeiten auf der VetFarm </w:t>
      </w:r>
      <w:r>
        <w:t>gelten diesbezüglich als „24 Stunden“ LV unter Beachtung der Absprache mit Tierärzten/Stallmeister.</w:t>
      </w:r>
    </w:p>
    <w:p w:rsidR="00F95842" w:rsidRDefault="00F95842" w:rsidP="009D5C75"/>
    <w:p w:rsidR="00F97CEB" w:rsidRDefault="009D5C75" w:rsidP="00F97CEB">
      <w:pPr>
        <w:pStyle w:val="Listenabsatz"/>
        <w:numPr>
          <w:ilvl w:val="0"/>
          <w:numId w:val="1"/>
        </w:numPr>
        <w:rPr>
          <w:b/>
        </w:rPr>
      </w:pPr>
      <w:r w:rsidRPr="00A31ADA">
        <w:rPr>
          <w:b/>
        </w:rPr>
        <w:t>Prävention von Zoonosen und Verschleppung von Infektionskrankheiten</w:t>
      </w:r>
    </w:p>
    <w:p w:rsidR="0067238C" w:rsidRDefault="0067238C" w:rsidP="0067238C">
      <w:pPr>
        <w:pStyle w:val="Listenabsatz"/>
        <w:rPr>
          <w:b/>
        </w:rPr>
      </w:pPr>
    </w:p>
    <w:p w:rsidR="00F97CEB" w:rsidRDefault="00F97CEB" w:rsidP="00A568F5">
      <w:pPr>
        <w:pStyle w:val="Listenabsatz"/>
        <w:numPr>
          <w:ilvl w:val="0"/>
          <w:numId w:val="2"/>
        </w:numPr>
      </w:pPr>
      <w:r w:rsidRPr="00A568F5">
        <w:rPr>
          <w:b/>
        </w:rPr>
        <w:t>VOR Betreten</w:t>
      </w:r>
      <w:r>
        <w:t xml:space="preserve"> der Stallungen und </w:t>
      </w:r>
      <w:r w:rsidRPr="00A568F5">
        <w:rPr>
          <w:b/>
        </w:rPr>
        <w:t>NACH Verlassen</w:t>
      </w:r>
      <w:r>
        <w:t xml:space="preserve"> &gt;&gt;&gt; </w:t>
      </w:r>
      <w:r w:rsidRPr="00A568F5">
        <w:rPr>
          <w:b/>
        </w:rPr>
        <w:t>Handhygiene</w:t>
      </w:r>
      <w:r>
        <w:t xml:space="preserve">: Waschen der  </w:t>
      </w:r>
    </w:p>
    <w:p w:rsidR="00A568F5" w:rsidRDefault="00F97CEB" w:rsidP="00A568F5">
      <w:pPr>
        <w:pStyle w:val="Listenabsatz"/>
        <w:ind w:left="1077"/>
        <w:contextualSpacing w:val="0"/>
      </w:pPr>
      <w:r>
        <w:t>Hände mit Seife und warmem Wasser, abtrocknen, anschließende Desinfektion</w:t>
      </w:r>
    </w:p>
    <w:p w:rsidR="00A568F5" w:rsidRDefault="00F97CEB" w:rsidP="00A568F5">
      <w:pPr>
        <w:pStyle w:val="Listenabsatz"/>
        <w:numPr>
          <w:ilvl w:val="0"/>
          <w:numId w:val="2"/>
        </w:numPr>
        <w:ind w:left="1077" w:hanging="357"/>
        <w:contextualSpacing w:val="0"/>
      </w:pPr>
      <w:r w:rsidRPr="00A568F5">
        <w:rPr>
          <w:b/>
        </w:rPr>
        <w:t>Reinigen der Stiefel</w:t>
      </w:r>
      <w:r>
        <w:t xml:space="preserve"> nach Verlassen der Stallungen</w:t>
      </w:r>
    </w:p>
    <w:p w:rsidR="00C7010E" w:rsidRPr="00C7010E" w:rsidRDefault="00F97CEB" w:rsidP="00A568F5">
      <w:pPr>
        <w:pStyle w:val="Listenabsatz"/>
        <w:numPr>
          <w:ilvl w:val="0"/>
          <w:numId w:val="2"/>
        </w:numPr>
        <w:ind w:left="1077" w:hanging="357"/>
        <w:contextualSpacing w:val="0"/>
      </w:pPr>
      <w:r w:rsidRPr="00A568F5">
        <w:rPr>
          <w:b/>
        </w:rPr>
        <w:t>Einhalten der Umkleidevorschriften</w:t>
      </w:r>
      <w:r w:rsidR="00B8252D" w:rsidRPr="00A568F5">
        <w:rPr>
          <w:b/>
        </w:rPr>
        <w:t xml:space="preserve"> - </w:t>
      </w:r>
      <w:r w:rsidR="00B8252D" w:rsidRPr="00192B8E">
        <w:t>auf</w:t>
      </w:r>
      <w:r>
        <w:t xml:space="preserve"> Sauberkeit in den </w:t>
      </w:r>
      <w:r w:rsidRPr="00F35855">
        <w:t>Umkleideschleusen</w:t>
      </w:r>
      <w:r w:rsidR="00F35855" w:rsidRPr="00F35855">
        <w:t xml:space="preserve"> </w:t>
      </w:r>
      <w:r w:rsidR="00B8252D" w:rsidRPr="00F35855">
        <w:t>ist zu achten.</w:t>
      </w:r>
    </w:p>
    <w:p w:rsidR="001C7C75" w:rsidRDefault="009D5C75" w:rsidP="00A568F5">
      <w:pPr>
        <w:pStyle w:val="Listenabsatz"/>
        <w:numPr>
          <w:ilvl w:val="0"/>
          <w:numId w:val="7"/>
        </w:numPr>
        <w:contextualSpacing w:val="0"/>
      </w:pPr>
      <w:r w:rsidRPr="0067238C">
        <w:rPr>
          <w:b/>
        </w:rPr>
        <w:t>Tragen von Einweghandschuhen</w:t>
      </w:r>
      <w:r w:rsidR="00C7010E">
        <w:t>, unter anderem im Falle von:</w:t>
      </w:r>
      <w:r w:rsidR="00C7010E">
        <w:br/>
      </w:r>
      <w:r w:rsidR="001C7C75">
        <w:t xml:space="preserve">- </w:t>
      </w:r>
      <w:r>
        <w:t>Hautverletzungen</w:t>
      </w:r>
      <w:r>
        <w:br/>
      </w:r>
      <w:r w:rsidR="001C7C75">
        <w:t xml:space="preserve">- </w:t>
      </w:r>
      <w:r>
        <w:t>Kontakt mit Sekreten und Exkreten (z.B. Kot</w:t>
      </w:r>
      <w:r w:rsidR="001C7C75">
        <w:t>)</w:t>
      </w:r>
      <w:r>
        <w:br/>
      </w:r>
      <w:r w:rsidR="001C7C75">
        <w:t xml:space="preserve">- </w:t>
      </w:r>
      <w:r>
        <w:t>sämtlichen geburtshilflichen Maßnahmen</w:t>
      </w:r>
      <w:r>
        <w:br/>
      </w:r>
      <w:r w:rsidR="001C7C75">
        <w:t xml:space="preserve">- </w:t>
      </w:r>
      <w:r>
        <w:t>Kontakt mit potentiell infektiösem Mate</w:t>
      </w:r>
      <w:r w:rsidR="001C7C75">
        <w:t>rial</w:t>
      </w:r>
    </w:p>
    <w:p w:rsidR="00F97CEB" w:rsidRDefault="009D5C75" w:rsidP="00A568F5">
      <w:pPr>
        <w:pStyle w:val="Listenabsatz"/>
        <w:numPr>
          <w:ilvl w:val="0"/>
          <w:numId w:val="7"/>
        </w:numPr>
        <w:contextualSpacing w:val="0"/>
      </w:pPr>
      <w:r>
        <w:t xml:space="preserve">Lange Haare </w:t>
      </w:r>
      <w:r w:rsidR="00B8252D" w:rsidRPr="00F35855">
        <w:t xml:space="preserve">sind </w:t>
      </w:r>
      <w:r>
        <w:t>zusammen</w:t>
      </w:r>
      <w:r w:rsidR="00B8252D">
        <w:t>zu</w:t>
      </w:r>
      <w:r>
        <w:t>binden</w:t>
      </w:r>
    </w:p>
    <w:p w:rsidR="009D5C75" w:rsidRDefault="009D5C75" w:rsidP="00A568F5">
      <w:pPr>
        <w:pStyle w:val="Listenabsatz"/>
        <w:numPr>
          <w:ilvl w:val="0"/>
          <w:numId w:val="7"/>
        </w:numPr>
        <w:contextualSpacing w:val="0"/>
      </w:pPr>
      <w:r w:rsidRPr="0067238C">
        <w:rPr>
          <w:b/>
        </w:rPr>
        <w:t>Unverzügliche Entsorgung von Nadeln und Skalpellen</w:t>
      </w:r>
      <w:r>
        <w:t xml:space="preserve"> nach Verwendung in stichfesten Behältern: das Wiederaufsetzten der Schutzkappe auf die gebrauchte Nadel ist verboten. Sicherheitsequipment benutzen (Nadelstichverordnung – NastV)</w:t>
      </w:r>
    </w:p>
    <w:p w:rsidR="0067238C" w:rsidRPr="0067238C" w:rsidRDefault="009D5C75" w:rsidP="00A568F5">
      <w:pPr>
        <w:pStyle w:val="Listenabsatz"/>
        <w:numPr>
          <w:ilvl w:val="0"/>
          <w:numId w:val="7"/>
        </w:numPr>
        <w:contextualSpacing w:val="0"/>
      </w:pPr>
      <w:r w:rsidRPr="0067238C">
        <w:rPr>
          <w:b/>
        </w:rPr>
        <w:t>Verletzungen oder Unfälle</w:t>
      </w:r>
      <w:r>
        <w:t xml:space="preserve"> sind dem Lehrveranstaltungsleiter </w:t>
      </w:r>
      <w:r w:rsidRPr="0067238C">
        <w:rPr>
          <w:b/>
        </w:rPr>
        <w:t>unverzüglich mitzuteilen</w:t>
      </w:r>
    </w:p>
    <w:p w:rsidR="00502338" w:rsidRDefault="0067238C" w:rsidP="00A568F5">
      <w:pPr>
        <w:pStyle w:val="Listenabsatz"/>
        <w:numPr>
          <w:ilvl w:val="0"/>
          <w:numId w:val="7"/>
        </w:numPr>
        <w:contextualSpacing w:val="0"/>
      </w:pPr>
      <w:r w:rsidRPr="00C7010E">
        <w:rPr>
          <w:b/>
        </w:rPr>
        <w:t>Verpflichtend für den Schweinebetrieb Medau</w:t>
      </w:r>
      <w:r>
        <w:t>: 48 Std. Schweinefreiheit</w:t>
      </w:r>
      <w:r w:rsidR="003A278E">
        <w:t xml:space="preserve"> (siehe Punkt 5</w:t>
      </w:r>
      <w:r w:rsidR="00CF4957">
        <w:t>)</w:t>
      </w:r>
      <w:r>
        <w:t xml:space="preserve">, Einduschen und kompletter Kleiderwechsel – </w:t>
      </w:r>
      <w:r w:rsidR="00AC7FD0">
        <w:t>Hohe Hygienestufe!</w:t>
      </w:r>
      <w:r>
        <w:t xml:space="preserve"> Beachtung der spezifischen Stallordnung</w:t>
      </w:r>
      <w:r w:rsidR="00B8252D">
        <w:rPr>
          <w:color w:val="4F81BD" w:themeColor="accent1"/>
        </w:rPr>
        <w:t xml:space="preserve"> </w:t>
      </w:r>
      <w:r w:rsidR="00B8252D" w:rsidRPr="00F35855">
        <w:t>zwingend erforderlich!</w:t>
      </w:r>
    </w:p>
    <w:p w:rsidR="00C7010E" w:rsidRDefault="00C7010E" w:rsidP="00C7010E">
      <w:pPr>
        <w:pStyle w:val="Listenabsatz"/>
      </w:pPr>
    </w:p>
    <w:p w:rsidR="00A31ADA" w:rsidRPr="0067238C" w:rsidRDefault="00A31ADA" w:rsidP="00A31ADA">
      <w:pPr>
        <w:pStyle w:val="Listenabsatz"/>
        <w:numPr>
          <w:ilvl w:val="0"/>
          <w:numId w:val="1"/>
        </w:numPr>
        <w:rPr>
          <w:b/>
        </w:rPr>
      </w:pPr>
      <w:r w:rsidRPr="0067238C">
        <w:rPr>
          <w:b/>
        </w:rPr>
        <w:t>Tierseuchen</w:t>
      </w:r>
    </w:p>
    <w:p w:rsidR="00A31ADA" w:rsidRDefault="00A31ADA" w:rsidP="007E6CF9">
      <w:pPr>
        <w:pStyle w:val="Listenabsatz"/>
      </w:pPr>
    </w:p>
    <w:p w:rsidR="00A31ADA" w:rsidRDefault="0067238C" w:rsidP="00A31ADA">
      <w:pPr>
        <w:pStyle w:val="Listenabsatz"/>
      </w:pPr>
      <w:r>
        <w:t>Verhaltensmaßnahmen und Vorschriften bei Ausbruch von Tierseuchen sind</w:t>
      </w:r>
      <w:r w:rsidR="00A31ADA">
        <w:t xml:space="preserve"> im Seuchenplan der Vetmeduni geregelt</w:t>
      </w:r>
      <w:r>
        <w:t>.</w:t>
      </w:r>
    </w:p>
    <w:p w:rsidR="00A31ADA" w:rsidRDefault="00A31ADA" w:rsidP="00A31ADA">
      <w:pPr>
        <w:pStyle w:val="Listenabsatz"/>
      </w:pPr>
      <w:r>
        <w:t xml:space="preserve">Studierende müssen im </w:t>
      </w:r>
      <w:r w:rsidRPr="0067238C">
        <w:rPr>
          <w:b/>
        </w:rPr>
        <w:t>Seuchenverdachtsfall</w:t>
      </w:r>
      <w:r>
        <w:t xml:space="preserve"> den Anweisungen des Lehrbeauftragten bzw. der </w:t>
      </w:r>
      <w:r w:rsidR="0067238C">
        <w:t>Mitarbeiter</w:t>
      </w:r>
      <w:r>
        <w:t xml:space="preserve"> </w:t>
      </w:r>
      <w:r w:rsidR="00F14E08">
        <w:t>auf der VetFarm</w:t>
      </w:r>
      <w:r>
        <w:t xml:space="preserve"> und in Folge der höheren Instanzen </w:t>
      </w:r>
      <w:r w:rsidR="0067238C">
        <w:t>absolut Folge leisten</w:t>
      </w:r>
      <w:r>
        <w:t xml:space="preserve">. Die Befolgung </w:t>
      </w:r>
      <w:r w:rsidR="0067238C">
        <w:t>von</w:t>
      </w:r>
      <w:r>
        <w:t xml:space="preserve"> Anweisungen ist essentiell, um Seuchen gegebenenfalls effektiv eindämmen </w:t>
      </w:r>
      <w:r w:rsidR="0067238C">
        <w:t xml:space="preserve">und deren Ausbreitung möglichst verhindern </w:t>
      </w:r>
      <w:r>
        <w:t>zu können</w:t>
      </w:r>
    </w:p>
    <w:p w:rsidR="00851AE6" w:rsidRDefault="00851AE6" w:rsidP="00A31ADA">
      <w:pPr>
        <w:pStyle w:val="Listenabsatz"/>
      </w:pPr>
    </w:p>
    <w:p w:rsidR="0067238C" w:rsidRDefault="0067238C" w:rsidP="00A31ADA">
      <w:pPr>
        <w:pStyle w:val="Listenabsatz"/>
      </w:pPr>
    </w:p>
    <w:p w:rsidR="007E6CF9" w:rsidRDefault="007E6CF9" w:rsidP="003B19A6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lastRenderedPageBreak/>
        <w:t>Schwangerschaft</w:t>
      </w:r>
    </w:p>
    <w:p w:rsidR="007E6CF9" w:rsidRPr="007E6CF9" w:rsidRDefault="007E6CF9" w:rsidP="007E6CF9">
      <w:pPr>
        <w:pStyle w:val="Listenabsatz"/>
      </w:pPr>
    </w:p>
    <w:p w:rsidR="007E6CF9" w:rsidRDefault="007E6CF9" w:rsidP="007E6CF9">
      <w:pPr>
        <w:pStyle w:val="Listenabsatz"/>
      </w:pPr>
      <w:r>
        <w:t xml:space="preserve">Bei Schwangerschaft </w:t>
      </w:r>
      <w:r w:rsidRPr="007E6CF9">
        <w:rPr>
          <w:b/>
        </w:rPr>
        <w:t>empfehlen wir</w:t>
      </w:r>
      <w:r>
        <w:t xml:space="preserve"> </w:t>
      </w:r>
      <w:r w:rsidRPr="007E6CF9">
        <w:rPr>
          <w:b/>
        </w:rPr>
        <w:t>dringend</w:t>
      </w:r>
      <w:r>
        <w:t xml:space="preserve">, die </w:t>
      </w:r>
      <w:r w:rsidR="0018339E">
        <w:t>VetFarm</w:t>
      </w:r>
      <w:r>
        <w:t xml:space="preserve"> - Stallungen, aufgrund möglicher Gefahren, </w:t>
      </w:r>
      <w:r w:rsidRPr="007E6CF9">
        <w:rPr>
          <w:b/>
        </w:rPr>
        <w:t>nicht zu betreten</w:t>
      </w:r>
      <w:r>
        <w:t xml:space="preserve">. Sollten die Stallungen </w:t>
      </w:r>
      <w:r w:rsidRPr="007E6CF9">
        <w:rPr>
          <w:b/>
        </w:rPr>
        <w:t>trotzdem betreten</w:t>
      </w:r>
      <w:r>
        <w:t xml:space="preserve"> werden, geschieht dies </w:t>
      </w:r>
      <w:r w:rsidRPr="007E6CF9">
        <w:rPr>
          <w:b/>
        </w:rPr>
        <w:t>auf eigene Verantwortung</w:t>
      </w:r>
      <w:r>
        <w:t>.</w:t>
      </w:r>
      <w:r>
        <w:br/>
        <w:t>Ein Ausschluss von Schwangeren,</w:t>
      </w:r>
      <w:r w:rsidRPr="00B678BE">
        <w:t xml:space="preserve"> durch den Lehrveranstaltungs</w:t>
      </w:r>
      <w:r>
        <w:t xml:space="preserve">- bzw. Exkursionsleiter, ist </w:t>
      </w:r>
      <w:r w:rsidRPr="00B678BE">
        <w:t>zulässig</w:t>
      </w:r>
      <w:r>
        <w:t>.</w:t>
      </w:r>
      <w:r>
        <w:br/>
      </w:r>
    </w:p>
    <w:p w:rsidR="007E6CF9" w:rsidRDefault="007E6CF9" w:rsidP="007E6CF9">
      <w:pPr>
        <w:pStyle w:val="Listenabsatz"/>
        <w:rPr>
          <w:b/>
        </w:rPr>
      </w:pPr>
    </w:p>
    <w:p w:rsidR="003B19A6" w:rsidRDefault="003B19A6" w:rsidP="003B19A6">
      <w:pPr>
        <w:pStyle w:val="Listenabsatz"/>
        <w:numPr>
          <w:ilvl w:val="0"/>
          <w:numId w:val="1"/>
        </w:numPr>
        <w:rPr>
          <w:b/>
        </w:rPr>
      </w:pPr>
      <w:r w:rsidRPr="0067238C">
        <w:rPr>
          <w:b/>
        </w:rPr>
        <w:t>Verschwiegenheitspflicht</w:t>
      </w:r>
    </w:p>
    <w:p w:rsidR="007B316F" w:rsidRPr="0067238C" w:rsidRDefault="007B316F" w:rsidP="007B316F">
      <w:pPr>
        <w:pStyle w:val="Listenabsatz"/>
        <w:rPr>
          <w:b/>
        </w:rPr>
      </w:pPr>
    </w:p>
    <w:p w:rsidR="003B19A6" w:rsidRDefault="003B19A6" w:rsidP="003B19A6">
      <w:pPr>
        <w:pStyle w:val="Listenabsatz"/>
        <w:numPr>
          <w:ilvl w:val="0"/>
          <w:numId w:val="6"/>
        </w:numPr>
      </w:pPr>
      <w:r>
        <w:t xml:space="preserve">Absolute Verschwiegenheit gilt für alle Studierenden, </w:t>
      </w:r>
      <w:r w:rsidR="00AC7FD0">
        <w:t>die</w:t>
      </w:r>
      <w:r>
        <w:t xml:space="preserve"> im Zuge ihrer Ausbildung oder im Rahmen von Betriebsbesuchen Zugang zu </w:t>
      </w:r>
      <w:r w:rsidR="006B171C">
        <w:t>Betriebsdaten,</w:t>
      </w:r>
      <w:r>
        <w:t xml:space="preserve"> Untersuchungsergebnissen oder sonstigen schriftlichen und/oder mündliche</w:t>
      </w:r>
      <w:r w:rsidR="002D492B">
        <w:t>n Aufzeichnungen erhalten oder verwenden</w:t>
      </w:r>
    </w:p>
    <w:p w:rsidR="003B19A6" w:rsidRDefault="003B19A6" w:rsidP="003B19A6">
      <w:pPr>
        <w:pStyle w:val="Listenabsatz"/>
        <w:numPr>
          <w:ilvl w:val="0"/>
          <w:numId w:val="6"/>
        </w:numPr>
      </w:pPr>
      <w:r>
        <w:t xml:space="preserve">Fotos, Filme oder andere </w:t>
      </w:r>
      <w:r w:rsidR="002D492B">
        <w:t>Dokumentationsmaterialien, die</w:t>
      </w:r>
      <w:r>
        <w:t xml:space="preserve"> im Zuge der Lehre, Diagnostik oder Forschung entstehen oder verwendet werden, sind </w:t>
      </w:r>
      <w:r w:rsidR="0018339E">
        <w:t>VetFarm</w:t>
      </w:r>
      <w:r>
        <w:t xml:space="preserve"> – Eigentum</w:t>
      </w:r>
      <w:r w:rsidR="002D492B">
        <w:t xml:space="preserve"> bzw. Eigentum jener Institution der Vetmeduni, die das jeweilige wissenschaftliche Projekt leitet</w:t>
      </w:r>
      <w:r>
        <w:t>!</w:t>
      </w:r>
    </w:p>
    <w:p w:rsidR="003B19A6" w:rsidRDefault="003B19A6" w:rsidP="003B19A6">
      <w:pPr>
        <w:pStyle w:val="Listenabsatz"/>
        <w:numPr>
          <w:ilvl w:val="0"/>
          <w:numId w:val="6"/>
        </w:numPr>
      </w:pPr>
      <w:r>
        <w:t xml:space="preserve">Die </w:t>
      </w:r>
      <w:r w:rsidR="002D492B">
        <w:t xml:space="preserve">eigene </w:t>
      </w:r>
      <w:r>
        <w:t xml:space="preserve">Herstellung von Film- oder Fotomaterial und dessen Veröffentlichung oder Verwendung </w:t>
      </w:r>
      <w:r w:rsidR="002D492B">
        <w:t xml:space="preserve">– auch in privaten und/oder sozialen Medien ist nur nach ausdrücklicher, schriftlicher </w:t>
      </w:r>
      <w:r>
        <w:t xml:space="preserve">Genehmigung gestattet. </w:t>
      </w:r>
    </w:p>
    <w:p w:rsidR="00EC0978" w:rsidRDefault="00EC0978" w:rsidP="00EC0978">
      <w:pPr>
        <w:pStyle w:val="Listenabsatz"/>
        <w:ind w:left="1080"/>
      </w:pPr>
    </w:p>
    <w:p w:rsidR="00EC0978" w:rsidRDefault="00EC0978" w:rsidP="00EC0978">
      <w:pPr>
        <w:pStyle w:val="Listenabsatz"/>
        <w:ind w:left="1080"/>
      </w:pPr>
    </w:p>
    <w:p w:rsidR="00EC0978" w:rsidRPr="00EC0978" w:rsidRDefault="00EC0978" w:rsidP="00EC0978">
      <w:pPr>
        <w:pStyle w:val="Listenabsatz"/>
        <w:numPr>
          <w:ilvl w:val="0"/>
          <w:numId w:val="1"/>
        </w:numPr>
        <w:rPr>
          <w:b/>
        </w:rPr>
      </w:pPr>
      <w:r w:rsidRPr="00EC0978">
        <w:rPr>
          <w:b/>
        </w:rPr>
        <w:t xml:space="preserve">48 Stunden </w:t>
      </w:r>
      <w:r w:rsidR="0073601D">
        <w:rPr>
          <w:b/>
        </w:rPr>
        <w:t>„</w:t>
      </w:r>
      <w:r w:rsidRPr="00EC0978">
        <w:rPr>
          <w:b/>
        </w:rPr>
        <w:t>Schweinefreiheit</w:t>
      </w:r>
      <w:r w:rsidR="0073601D">
        <w:rPr>
          <w:b/>
        </w:rPr>
        <w:t>“</w:t>
      </w:r>
    </w:p>
    <w:p w:rsidR="000A1DF1" w:rsidRDefault="000A1DF1" w:rsidP="00EC0978">
      <w:pPr>
        <w:pStyle w:val="Listenabsatz"/>
      </w:pPr>
    </w:p>
    <w:p w:rsidR="000A1DF1" w:rsidRDefault="009011DA" w:rsidP="00EC0978">
      <w:pPr>
        <w:pStyle w:val="Listenabsatz"/>
      </w:pPr>
      <w:r w:rsidRPr="00EC0978">
        <w:t xml:space="preserve">Mit </w:t>
      </w:r>
      <w:r w:rsidR="005E0C35" w:rsidRPr="00EC0978">
        <w:t>dieser</w:t>
      </w:r>
      <w:r w:rsidRPr="00EC0978">
        <w:t xml:space="preserve"> Bestätigung garantiere ich, </w:t>
      </w:r>
      <w:r w:rsidR="00EC0978">
        <w:t xml:space="preserve">dass ich vor Betreten des Schweinebetriebes Medau </w:t>
      </w:r>
      <w:r w:rsidRPr="00EC0978">
        <w:t xml:space="preserve">48 Stunden </w:t>
      </w:r>
      <w:r w:rsidR="00EC0978">
        <w:t>keinen Kontakt mit Schweinen gehabt habe, bzw. in keinem Schweinebetrieb gewesen bin.</w:t>
      </w:r>
    </w:p>
    <w:p w:rsidR="00EC0978" w:rsidRPr="00EC0978" w:rsidRDefault="00EC0978" w:rsidP="00EC0978">
      <w:pPr>
        <w:pStyle w:val="Listenabsatz"/>
      </w:pPr>
    </w:p>
    <w:p w:rsidR="003B5D1C" w:rsidRDefault="003B5D1C" w:rsidP="003B5D1C">
      <w:r>
        <w:t xml:space="preserve">Mit meiner Unterschrift </w:t>
      </w:r>
      <w:r w:rsidRPr="00404E46">
        <w:rPr>
          <w:u w:val="single"/>
        </w:rPr>
        <w:t>bestätige</w:t>
      </w:r>
      <w:r>
        <w:t xml:space="preserve"> ich:</w:t>
      </w:r>
    </w:p>
    <w:p w:rsidR="003B5D1C" w:rsidRDefault="003B5D1C" w:rsidP="003B5D1C">
      <w:pPr>
        <w:pStyle w:val="Listenabsatz"/>
        <w:numPr>
          <w:ilvl w:val="0"/>
          <w:numId w:val="8"/>
        </w:numPr>
      </w:pPr>
      <w:r>
        <w:t>die Sicherheits- &amp; Verschwiegenheitsunterweisung gelesen zu haben und diese anzuwenden.</w:t>
      </w:r>
    </w:p>
    <w:p w:rsidR="003B5D1C" w:rsidRDefault="003B5D1C" w:rsidP="003B5D1C">
      <w:pPr>
        <w:pStyle w:val="Listenabsatz"/>
        <w:numPr>
          <w:ilvl w:val="0"/>
          <w:numId w:val="8"/>
        </w:numPr>
      </w:pPr>
      <w:r>
        <w:t>48 Stunden Schweinefreiheit für den Betrieb Medau eingehalten zu haben.</w:t>
      </w:r>
    </w:p>
    <w:p w:rsidR="000A1DF1" w:rsidRDefault="000A1DF1" w:rsidP="000A1DF1"/>
    <w:p w:rsidR="00091612" w:rsidRDefault="00091612" w:rsidP="000A1DF1">
      <w:pPr>
        <w:rPr>
          <w:b/>
          <w:u w:val="single"/>
        </w:rPr>
      </w:pPr>
    </w:p>
    <w:p w:rsidR="00091612" w:rsidRDefault="00091612" w:rsidP="000A1DF1">
      <w:pPr>
        <w:rPr>
          <w:b/>
          <w:u w:val="single"/>
        </w:rPr>
      </w:pPr>
    </w:p>
    <w:p w:rsidR="00091612" w:rsidRDefault="00091612" w:rsidP="000A1DF1">
      <w:pPr>
        <w:rPr>
          <w:b/>
          <w:u w:val="single"/>
        </w:rPr>
      </w:pPr>
    </w:p>
    <w:p w:rsidR="00091612" w:rsidRDefault="00091612" w:rsidP="000A1DF1">
      <w:pPr>
        <w:rPr>
          <w:b/>
          <w:u w:val="single"/>
        </w:rPr>
      </w:pPr>
    </w:p>
    <w:p w:rsidR="00091612" w:rsidRPr="00091612" w:rsidRDefault="00091612" w:rsidP="000A1DF1">
      <w:pPr>
        <w:rPr>
          <w:b/>
          <w:u w:val="single"/>
        </w:rPr>
      </w:pPr>
      <w:r>
        <w:rPr>
          <w:b/>
          <w:u w:val="single"/>
        </w:rPr>
        <w:lastRenderedPageBreak/>
        <w:t>Teilnehmer:</w:t>
      </w:r>
      <w:r>
        <w:rPr>
          <w:b/>
          <w:u w:val="single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NAME</w:t>
            </w: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UNTERSCHRIFT</w:t>
            </w:r>
          </w:p>
        </w:tc>
      </w:tr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</w:tc>
      </w:tr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</w:tc>
      </w:tr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</w:tc>
      </w:tr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</w:tc>
      </w:tr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</w:tc>
      </w:tr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</w:tc>
      </w:tr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</w:tc>
      </w:tr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</w:tc>
      </w:tr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</w:tc>
      </w:tr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</w:tc>
      </w:tr>
      <w:tr w:rsidR="00091612" w:rsidTr="00091612"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  <w:p w:rsidR="00091612" w:rsidRDefault="00091612" w:rsidP="000A1DF1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091612" w:rsidRDefault="00091612" w:rsidP="000A1DF1">
            <w:pPr>
              <w:rPr>
                <w:b/>
                <w:u w:val="single"/>
              </w:rPr>
            </w:pPr>
          </w:p>
        </w:tc>
      </w:tr>
    </w:tbl>
    <w:p w:rsidR="00091612" w:rsidRPr="00091612" w:rsidRDefault="00091612" w:rsidP="000A1DF1">
      <w:pPr>
        <w:rPr>
          <w:b/>
          <w:u w:val="single"/>
        </w:rPr>
      </w:pPr>
    </w:p>
    <w:sectPr w:rsidR="00091612" w:rsidRPr="00091612" w:rsidSect="009011DA">
      <w:headerReference w:type="default" r:id="rId8"/>
      <w:footerReference w:type="default" r:id="rId9"/>
      <w:pgSz w:w="11906" w:h="16838" w:code="9"/>
      <w:pgMar w:top="170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4E" w:rsidRDefault="00E0444E" w:rsidP="00015E32">
      <w:pPr>
        <w:spacing w:after="0" w:line="240" w:lineRule="auto"/>
      </w:pPr>
      <w:r>
        <w:separator/>
      </w:r>
    </w:p>
  </w:endnote>
  <w:endnote w:type="continuationSeparator" w:id="0">
    <w:p w:rsidR="00E0444E" w:rsidRDefault="00E0444E" w:rsidP="0001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126550"/>
      <w:docPartObj>
        <w:docPartGallery w:val="Page Numbers (Bottom of Page)"/>
        <w:docPartUnique/>
      </w:docPartObj>
    </w:sdtPr>
    <w:sdtEndPr/>
    <w:sdtContent>
      <w:p w:rsidR="00344134" w:rsidRPr="005E0C35" w:rsidRDefault="002F579A" w:rsidP="00344134">
        <w:pPr>
          <w:pStyle w:val="Fuzeile"/>
          <w:rPr>
            <w:color w:val="A6A6A6" w:themeColor="background1" w:themeShade="A6"/>
            <w:sz w:val="16"/>
            <w:szCs w:val="16"/>
          </w:rPr>
        </w:pPr>
        <w:r>
          <w:rPr>
            <w:color w:val="A6A6A6" w:themeColor="background1" w:themeShade="A6"/>
            <w:sz w:val="16"/>
            <w:szCs w:val="16"/>
          </w:rPr>
          <w:t xml:space="preserve"> Überarbeitet 2018</w:t>
        </w:r>
        <w:r w:rsidR="00344134">
          <w:tab/>
        </w:r>
        <w:r w:rsidR="00344134">
          <w:tab/>
        </w:r>
        <w:r w:rsidR="00344134" w:rsidRPr="00344134">
          <w:rPr>
            <w:color w:val="A6A6A6" w:themeColor="background1" w:themeShade="A6"/>
            <w:sz w:val="16"/>
            <w:szCs w:val="16"/>
          </w:rPr>
          <w:fldChar w:fldCharType="begin"/>
        </w:r>
        <w:r w:rsidR="00344134" w:rsidRPr="00344134">
          <w:rPr>
            <w:color w:val="A6A6A6" w:themeColor="background1" w:themeShade="A6"/>
            <w:sz w:val="16"/>
            <w:szCs w:val="16"/>
          </w:rPr>
          <w:instrText>PAGE   \* MERGEFORMAT</w:instrText>
        </w:r>
        <w:r w:rsidR="00344134" w:rsidRPr="00344134">
          <w:rPr>
            <w:color w:val="A6A6A6" w:themeColor="background1" w:themeShade="A6"/>
            <w:sz w:val="16"/>
            <w:szCs w:val="16"/>
          </w:rPr>
          <w:fldChar w:fldCharType="separate"/>
        </w:r>
        <w:r w:rsidR="00EA512E" w:rsidRPr="00EA512E">
          <w:rPr>
            <w:noProof/>
            <w:color w:val="A6A6A6" w:themeColor="background1" w:themeShade="A6"/>
            <w:sz w:val="16"/>
            <w:szCs w:val="16"/>
            <w:lang w:val="de-DE"/>
          </w:rPr>
          <w:t>2</w:t>
        </w:r>
        <w:r w:rsidR="00344134" w:rsidRPr="00344134">
          <w:rPr>
            <w:color w:val="A6A6A6" w:themeColor="background1" w:themeShade="A6"/>
            <w:sz w:val="16"/>
            <w:szCs w:val="16"/>
          </w:rPr>
          <w:fldChar w:fldCharType="end"/>
        </w:r>
        <w:r w:rsidR="00344134" w:rsidRPr="00344134">
          <w:rPr>
            <w:color w:val="A6A6A6" w:themeColor="background1" w:themeShade="A6"/>
            <w:sz w:val="16"/>
            <w:szCs w:val="16"/>
          </w:rPr>
          <w:t>/3</w:t>
        </w:r>
      </w:p>
    </w:sdtContent>
  </w:sdt>
  <w:p w:rsidR="00015E32" w:rsidRDefault="00015E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4E" w:rsidRDefault="00E0444E" w:rsidP="00015E32">
      <w:pPr>
        <w:spacing w:after="0" w:line="240" w:lineRule="auto"/>
      </w:pPr>
      <w:r>
        <w:separator/>
      </w:r>
    </w:p>
  </w:footnote>
  <w:footnote w:type="continuationSeparator" w:id="0">
    <w:p w:rsidR="00E0444E" w:rsidRDefault="00E0444E" w:rsidP="0001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32" w:rsidRDefault="002F579A">
    <w:pPr>
      <w:pStyle w:val="Kopfzeile"/>
    </w:pPr>
    <w:r w:rsidRPr="002F579A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48105F9" wp14:editId="04CEFA07">
          <wp:simplePos x="0" y="0"/>
          <wp:positionH relativeFrom="margin">
            <wp:posOffset>4160520</wp:posOffset>
          </wp:positionH>
          <wp:positionV relativeFrom="paragraph">
            <wp:posOffset>62230</wp:posOffset>
          </wp:positionV>
          <wp:extent cx="2139950" cy="423272"/>
          <wp:effectExtent l="0" t="0" r="0" b="0"/>
          <wp:wrapNone/>
          <wp:docPr id="2" name="Grafik 2" descr="Z:\ir\Grafik &amp; Marketing\Logos\vetfarm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r\Grafik &amp; Marketing\Logos\vetfarm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23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5E32">
      <w:tab/>
    </w:r>
    <w:r w:rsidR="00015E32">
      <w:tab/>
    </w:r>
  </w:p>
  <w:p w:rsidR="00344134" w:rsidRPr="005E0C35" w:rsidRDefault="00344134">
    <w:pPr>
      <w:pStyle w:val="Kopfzeile"/>
      <w:rPr>
        <w:color w:val="777777"/>
        <w:sz w:val="16"/>
        <w:szCs w:val="16"/>
      </w:rPr>
    </w:pPr>
    <w:r>
      <w:tab/>
    </w:r>
    <w:r>
      <w:tab/>
    </w:r>
    <w:r w:rsidRPr="005E0C35">
      <w:rPr>
        <w:color w:val="777777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023"/>
    <w:multiLevelType w:val="hybridMultilevel"/>
    <w:tmpl w:val="6298D1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2BAA"/>
    <w:multiLevelType w:val="hybridMultilevel"/>
    <w:tmpl w:val="FF64402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72CF4"/>
    <w:multiLevelType w:val="hybridMultilevel"/>
    <w:tmpl w:val="82489AB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F5831D5"/>
    <w:multiLevelType w:val="hybridMultilevel"/>
    <w:tmpl w:val="33746322"/>
    <w:lvl w:ilvl="0" w:tplc="FE26928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BC4A3A"/>
    <w:multiLevelType w:val="hybridMultilevel"/>
    <w:tmpl w:val="EE4679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E4B0FB46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C18B5"/>
    <w:multiLevelType w:val="hybridMultilevel"/>
    <w:tmpl w:val="3594CEC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BE054A"/>
    <w:multiLevelType w:val="hybridMultilevel"/>
    <w:tmpl w:val="44B42E1C"/>
    <w:lvl w:ilvl="0" w:tplc="0C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6E102BB3"/>
    <w:multiLevelType w:val="hybridMultilevel"/>
    <w:tmpl w:val="A2D2F3E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3A"/>
    <w:rsid w:val="00011C66"/>
    <w:rsid w:val="00015E32"/>
    <w:rsid w:val="00076EC6"/>
    <w:rsid w:val="00091612"/>
    <w:rsid w:val="0009502F"/>
    <w:rsid w:val="000A1DF1"/>
    <w:rsid w:val="001029FD"/>
    <w:rsid w:val="001605C2"/>
    <w:rsid w:val="0018339E"/>
    <w:rsid w:val="00192B8E"/>
    <w:rsid w:val="001C7C75"/>
    <w:rsid w:val="002066E3"/>
    <w:rsid w:val="002924E9"/>
    <w:rsid w:val="002D492B"/>
    <w:rsid w:val="002F579A"/>
    <w:rsid w:val="002F6DD8"/>
    <w:rsid w:val="00344134"/>
    <w:rsid w:val="0037556A"/>
    <w:rsid w:val="00385250"/>
    <w:rsid w:val="003A278E"/>
    <w:rsid w:val="003B19A6"/>
    <w:rsid w:val="003B2213"/>
    <w:rsid w:val="003B5D1C"/>
    <w:rsid w:val="003E3121"/>
    <w:rsid w:val="00502338"/>
    <w:rsid w:val="00546C57"/>
    <w:rsid w:val="005967F5"/>
    <w:rsid w:val="005E0C35"/>
    <w:rsid w:val="00614D9A"/>
    <w:rsid w:val="0065585A"/>
    <w:rsid w:val="0067238C"/>
    <w:rsid w:val="006910E6"/>
    <w:rsid w:val="006B171C"/>
    <w:rsid w:val="0073601D"/>
    <w:rsid w:val="00775D4D"/>
    <w:rsid w:val="00787E19"/>
    <w:rsid w:val="00796FDD"/>
    <w:rsid w:val="007B316F"/>
    <w:rsid w:val="007E6CF9"/>
    <w:rsid w:val="0084363A"/>
    <w:rsid w:val="00851AE6"/>
    <w:rsid w:val="008A497B"/>
    <w:rsid w:val="008E0680"/>
    <w:rsid w:val="009011DA"/>
    <w:rsid w:val="0091704A"/>
    <w:rsid w:val="009D5C75"/>
    <w:rsid w:val="00A22088"/>
    <w:rsid w:val="00A31ADA"/>
    <w:rsid w:val="00A440DF"/>
    <w:rsid w:val="00A47A83"/>
    <w:rsid w:val="00A568F5"/>
    <w:rsid w:val="00AA1A46"/>
    <w:rsid w:val="00AC7FD0"/>
    <w:rsid w:val="00B1015A"/>
    <w:rsid w:val="00B256E1"/>
    <w:rsid w:val="00B538C5"/>
    <w:rsid w:val="00B678BE"/>
    <w:rsid w:val="00B8252D"/>
    <w:rsid w:val="00BC47CC"/>
    <w:rsid w:val="00BE0E75"/>
    <w:rsid w:val="00C2175A"/>
    <w:rsid w:val="00C62544"/>
    <w:rsid w:val="00C7010E"/>
    <w:rsid w:val="00CB36C0"/>
    <w:rsid w:val="00CF4957"/>
    <w:rsid w:val="00E0444E"/>
    <w:rsid w:val="00E10490"/>
    <w:rsid w:val="00E33D55"/>
    <w:rsid w:val="00EA512E"/>
    <w:rsid w:val="00EC0978"/>
    <w:rsid w:val="00F14E08"/>
    <w:rsid w:val="00F35855"/>
    <w:rsid w:val="00F37361"/>
    <w:rsid w:val="00F95842"/>
    <w:rsid w:val="00F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C18B11-47E7-4C29-A37E-421FB074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36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15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5E32"/>
  </w:style>
  <w:style w:type="paragraph" w:styleId="Fuzeile">
    <w:name w:val="footer"/>
    <w:basedOn w:val="Standard"/>
    <w:link w:val="FuzeileZchn"/>
    <w:uiPriority w:val="99"/>
    <w:unhideWhenUsed/>
    <w:rsid w:val="00015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5E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4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0922-A4D4-4C10-9A43-D0802CC0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NB-Barbara</dc:creator>
  <cp:lastModifiedBy>_ Daktari _</cp:lastModifiedBy>
  <cp:revision>2</cp:revision>
  <cp:lastPrinted>2017-02-02T12:01:00Z</cp:lastPrinted>
  <dcterms:created xsi:type="dcterms:W3CDTF">2018-05-07T10:19:00Z</dcterms:created>
  <dcterms:modified xsi:type="dcterms:W3CDTF">2018-05-07T10:19:00Z</dcterms:modified>
</cp:coreProperties>
</file>